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90C7148" w:rsidR="004514AE" w:rsidRPr="00EB5F19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EB5F19">
        <w:rPr>
          <w:rFonts w:cs="Arial"/>
          <w:b/>
          <w:sz w:val="24"/>
          <w:szCs w:val="24"/>
        </w:rPr>
        <w:t>TSG SA Meeting #10</w:t>
      </w:r>
      <w:r w:rsidR="00C24F9B" w:rsidRPr="00EB5F19">
        <w:rPr>
          <w:rFonts w:cs="Arial"/>
          <w:b/>
          <w:sz w:val="24"/>
          <w:szCs w:val="24"/>
        </w:rPr>
        <w:t>6</w:t>
      </w:r>
      <w:r w:rsidRPr="00EB5F19">
        <w:rPr>
          <w:rFonts w:cs="Arial"/>
          <w:b/>
          <w:sz w:val="24"/>
          <w:szCs w:val="24"/>
        </w:rPr>
        <w:tab/>
      </w:r>
      <w:r w:rsidR="00DA33CF" w:rsidRPr="00EB5F19">
        <w:rPr>
          <w:rFonts w:cs="Arial"/>
          <w:b/>
          <w:sz w:val="24"/>
          <w:szCs w:val="24"/>
        </w:rPr>
        <w:t>SP-241</w:t>
      </w:r>
      <w:r w:rsidR="00EB5F19" w:rsidRPr="00EB5F19">
        <w:rPr>
          <w:rFonts w:cs="Arial"/>
          <w:b/>
          <w:sz w:val="24"/>
          <w:szCs w:val="24"/>
        </w:rPr>
        <w:t>466</w:t>
      </w:r>
    </w:p>
    <w:p w14:paraId="2781D96D" w14:textId="185A4C7D" w:rsidR="004514AE" w:rsidRPr="00EB5F19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 w:rsidRPr="00EB5F19">
        <w:rPr>
          <w:rFonts w:eastAsia="SimSun" w:cs="Arial"/>
          <w:b/>
          <w:bCs/>
          <w:sz w:val="24"/>
        </w:rPr>
        <w:t>10 - 13 December 2024, Madrid, Spain</w:t>
      </w:r>
    </w:p>
    <w:p w14:paraId="3B7F057C" w14:textId="3044E117" w:rsidR="00626633" w:rsidRPr="00EB5F19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Pr="00EB5F19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 w:rsidRPr="00EB5F19">
        <w:rPr>
          <w:rFonts w:cs="Arial"/>
          <w:b/>
          <w:bCs/>
        </w:rPr>
        <w:t>Source:</w:t>
      </w:r>
      <w:r w:rsidRPr="00EB5F19">
        <w:rPr>
          <w:rFonts w:cs="Arial"/>
          <w:b/>
          <w:bCs/>
        </w:rPr>
        <w:tab/>
      </w:r>
      <w:r w:rsidR="00EF27D5" w:rsidRPr="00EB5F19">
        <w:rPr>
          <w:rFonts w:cs="Arial"/>
          <w:b/>
          <w:bCs/>
        </w:rPr>
        <w:t>SA WG2</w:t>
      </w:r>
    </w:p>
    <w:p w14:paraId="5A3F8348" w14:textId="05962308" w:rsidR="004E535C" w:rsidRPr="00EB5F19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 w:rsidRPr="00EB5F19">
        <w:rPr>
          <w:rFonts w:cs="Arial"/>
          <w:b/>
          <w:bCs/>
        </w:rPr>
        <w:t>Title:</w:t>
      </w:r>
      <w:r w:rsidRPr="00EB5F19">
        <w:rPr>
          <w:rFonts w:cs="Arial"/>
          <w:b/>
          <w:bCs/>
        </w:rPr>
        <w:tab/>
      </w:r>
      <w:r w:rsidR="00EB5F19" w:rsidRPr="00EB5F19">
        <w:rPr>
          <w:rFonts w:cs="Arial"/>
          <w:b/>
          <w:bCs/>
        </w:rPr>
        <w:t>CR on VMR (Rel-18)</w:t>
      </w:r>
    </w:p>
    <w:p w14:paraId="519C34A0" w14:textId="599E7AA4" w:rsidR="004E535C" w:rsidRPr="00EB5F19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 w:rsidRPr="00EB5F19">
        <w:rPr>
          <w:rFonts w:cs="Arial"/>
          <w:b/>
          <w:bCs/>
        </w:rPr>
        <w:t>Agenda item:</w:t>
      </w:r>
      <w:r w:rsidRPr="00EB5F19">
        <w:rPr>
          <w:rFonts w:cs="Arial"/>
          <w:b/>
          <w:bCs/>
        </w:rPr>
        <w:tab/>
      </w:r>
      <w:r w:rsidR="00EB5F19" w:rsidRPr="00EB5F19">
        <w:rPr>
          <w:rFonts w:cs="Arial"/>
          <w:b/>
          <w:bCs/>
        </w:rPr>
        <w:t>18.2</w:t>
      </w:r>
    </w:p>
    <w:p w14:paraId="709BC54C" w14:textId="77777777" w:rsidR="004E535C" w:rsidRPr="00EB5F19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 w:rsidRPr="00EB5F19">
        <w:rPr>
          <w:rFonts w:cs="Arial"/>
          <w:b/>
          <w:bCs/>
        </w:rPr>
        <w:t>Document for:</w:t>
      </w:r>
      <w:r w:rsidRPr="00EB5F19">
        <w:rPr>
          <w:rFonts w:cs="Arial"/>
          <w:b/>
          <w:bCs/>
        </w:rPr>
        <w:tab/>
      </w:r>
      <w:r w:rsidR="00D10268" w:rsidRPr="00EB5F19">
        <w:rPr>
          <w:rFonts w:cs="Arial"/>
          <w:b/>
          <w:bCs/>
        </w:rPr>
        <w:t>Approval</w:t>
      </w:r>
    </w:p>
    <w:p w14:paraId="22ECF962" w14:textId="77777777" w:rsidR="004E535C" w:rsidRPr="00EB5F19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CA9A86D" w:rsidR="004E535C" w:rsidRPr="00EB5F19" w:rsidRDefault="00886616">
      <w:pPr>
        <w:rPr>
          <w:rFonts w:cs="Arial"/>
        </w:rPr>
      </w:pPr>
      <w:r w:rsidRPr="00EB5F19">
        <w:rPr>
          <w:rFonts w:cs="Arial"/>
        </w:rPr>
        <w:t>The following CR</w:t>
      </w:r>
      <w:r w:rsidR="00EB5F19" w:rsidRPr="00EB5F19">
        <w:rPr>
          <w:rFonts w:cs="Arial"/>
        </w:rPr>
        <w:t xml:space="preserve"> was</w:t>
      </w:r>
      <w:r w:rsidRPr="00EB5F19">
        <w:rPr>
          <w:rFonts w:cs="Arial"/>
        </w:rPr>
        <w:t xml:space="preserve"> agreed in SA WG2 </w:t>
      </w:r>
      <w:r w:rsidR="004E535C" w:rsidRPr="00EB5F19">
        <w:rPr>
          <w:rFonts w:cs="Arial"/>
        </w:rPr>
        <w:t xml:space="preserve">and </w:t>
      </w:r>
      <w:r w:rsidR="00EB5F19" w:rsidRPr="00EB5F19">
        <w:rPr>
          <w:rFonts w:cs="Arial"/>
        </w:rPr>
        <w:t>is</w:t>
      </w:r>
      <w:r w:rsidR="004E535C" w:rsidRPr="00EB5F19">
        <w:rPr>
          <w:rFonts w:cs="Arial"/>
        </w:rPr>
        <w:t xml:space="preserve"> forwarded to </w:t>
      </w:r>
      <w:r w:rsidR="00620F74" w:rsidRPr="00EB5F19">
        <w:rPr>
          <w:rFonts w:cs="Arial"/>
        </w:rPr>
        <w:t>TSG-</w:t>
      </w:r>
      <w:r w:rsidR="001A5153" w:rsidRPr="00EB5F19">
        <w:rPr>
          <w:rFonts w:cs="Arial"/>
        </w:rPr>
        <w:t>SA</w:t>
      </w:r>
      <w:r w:rsidR="00620F74" w:rsidRPr="00EB5F19">
        <w:rPr>
          <w:rFonts w:cs="Arial"/>
        </w:rPr>
        <w:t>#</w:t>
      </w:r>
      <w:r w:rsidR="00E67DB2" w:rsidRPr="00EB5F19">
        <w:rPr>
          <w:rFonts w:cs="Arial"/>
        </w:rPr>
        <w:t>10</w:t>
      </w:r>
      <w:r w:rsidR="00C24F9B" w:rsidRPr="00EB5F19">
        <w:rPr>
          <w:rFonts w:cs="Arial"/>
        </w:rPr>
        <w:t>6</w:t>
      </w:r>
      <w:r w:rsidR="004E535C" w:rsidRPr="00EB5F19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B5F19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proofErr w:type="spellStart"/>
            <w:r w:rsidRPr="00EB5F19">
              <w:rPr>
                <w:sz w:val="16"/>
                <w:szCs w:val="16"/>
                <w:lang w:val="en-GB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 xml:space="preserve">Other </w:t>
            </w:r>
            <w:proofErr w:type="spellStart"/>
            <w:r w:rsidRPr="00EB5F19">
              <w:rPr>
                <w:sz w:val="16"/>
                <w:szCs w:val="16"/>
                <w:lang w:val="en-GB"/>
              </w:rPr>
              <w:t>Aff</w:t>
            </w:r>
            <w:proofErr w:type="spellEnd"/>
            <w:r w:rsidRPr="00EB5F19">
              <w:rPr>
                <w:sz w:val="16"/>
                <w:szCs w:val="16"/>
                <w:lang w:val="en-GB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B5F19" w:rsidRDefault="00C24F9B" w:rsidP="002F52A1">
            <w:pPr>
              <w:pStyle w:val="TAH"/>
              <w:rPr>
                <w:sz w:val="16"/>
                <w:szCs w:val="16"/>
                <w:lang w:val="en-GB"/>
              </w:rPr>
            </w:pPr>
            <w:r w:rsidRPr="00EB5F19">
              <w:rPr>
                <w:sz w:val="16"/>
                <w:szCs w:val="16"/>
                <w:lang w:val="en-GB"/>
              </w:rPr>
              <w:t>Other comments</w:t>
            </w:r>
          </w:p>
        </w:tc>
      </w:tr>
      <w:tr w:rsidR="00EB5F19" w:rsidRPr="00EB5F19" w14:paraId="1CFD2AD4" w14:textId="77777777" w:rsidTr="002F52A1">
        <w:tc>
          <w:tcPr>
            <w:tcW w:w="774" w:type="dxa"/>
          </w:tcPr>
          <w:p w14:paraId="365FAA69" w14:textId="2510E479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23.501</w:t>
            </w:r>
          </w:p>
        </w:tc>
        <w:tc>
          <w:tcPr>
            <w:tcW w:w="781" w:type="dxa"/>
          </w:tcPr>
          <w:p w14:paraId="0F19433B" w14:textId="1419B354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5715</w:t>
            </w:r>
          </w:p>
        </w:tc>
        <w:tc>
          <w:tcPr>
            <w:tcW w:w="251" w:type="dxa"/>
          </w:tcPr>
          <w:p w14:paraId="5734F40A" w14:textId="390147ED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1</w:t>
            </w:r>
          </w:p>
        </w:tc>
        <w:tc>
          <w:tcPr>
            <w:tcW w:w="741" w:type="dxa"/>
          </w:tcPr>
          <w:p w14:paraId="25831A05" w14:textId="01312199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Rel-18</w:t>
            </w:r>
          </w:p>
        </w:tc>
        <w:tc>
          <w:tcPr>
            <w:tcW w:w="2693" w:type="dxa"/>
          </w:tcPr>
          <w:p w14:paraId="318A0B5B" w14:textId="54E29D88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Additional ULI only provided to LMF</w:t>
            </w:r>
          </w:p>
        </w:tc>
        <w:tc>
          <w:tcPr>
            <w:tcW w:w="284" w:type="dxa"/>
          </w:tcPr>
          <w:p w14:paraId="17E27E39" w14:textId="14C25808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F</w:t>
            </w:r>
          </w:p>
        </w:tc>
        <w:tc>
          <w:tcPr>
            <w:tcW w:w="708" w:type="dxa"/>
          </w:tcPr>
          <w:p w14:paraId="67111437" w14:textId="7EB7DFE1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18.7.0</w:t>
            </w:r>
          </w:p>
        </w:tc>
        <w:tc>
          <w:tcPr>
            <w:tcW w:w="851" w:type="dxa"/>
          </w:tcPr>
          <w:p w14:paraId="15417513" w14:textId="6F14A4AF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S2-165</w:t>
            </w:r>
          </w:p>
        </w:tc>
        <w:tc>
          <w:tcPr>
            <w:tcW w:w="1134" w:type="dxa"/>
          </w:tcPr>
          <w:p w14:paraId="0B350D62" w14:textId="05FEC7C9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S2-2410776</w:t>
            </w:r>
          </w:p>
        </w:tc>
        <w:tc>
          <w:tcPr>
            <w:tcW w:w="1134" w:type="dxa"/>
          </w:tcPr>
          <w:p w14:paraId="0D4F13EA" w14:textId="1A432763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Nokia</w:t>
            </w:r>
          </w:p>
        </w:tc>
        <w:tc>
          <w:tcPr>
            <w:tcW w:w="1276" w:type="dxa"/>
          </w:tcPr>
          <w:p w14:paraId="2DBBAB09" w14:textId="1D4AD1BD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VMR</w:t>
            </w:r>
          </w:p>
        </w:tc>
        <w:tc>
          <w:tcPr>
            <w:tcW w:w="1134" w:type="dxa"/>
          </w:tcPr>
          <w:p w14:paraId="139D467F" w14:textId="5A5D1228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5.35A.6</w:t>
            </w:r>
          </w:p>
        </w:tc>
        <w:tc>
          <w:tcPr>
            <w:tcW w:w="992" w:type="dxa"/>
          </w:tcPr>
          <w:p w14:paraId="13A641E4" w14:textId="77777777" w:rsidR="00EB5F19" w:rsidRPr="00EB5F19" w:rsidRDefault="00EB5F19" w:rsidP="00EB5F19">
            <w:pPr>
              <w:rPr>
                <w:rFonts w:cs="Arial"/>
                <w:sz w:val="16"/>
                <w:lang w:val="en-GB"/>
              </w:rPr>
            </w:pPr>
          </w:p>
        </w:tc>
        <w:tc>
          <w:tcPr>
            <w:tcW w:w="283" w:type="dxa"/>
          </w:tcPr>
          <w:p w14:paraId="6C3A93CE" w14:textId="77777777" w:rsidR="00EB5F19" w:rsidRPr="00EB5F19" w:rsidRDefault="00EB5F19" w:rsidP="00EB5F19">
            <w:pPr>
              <w:pStyle w:val="TAL"/>
              <w:rPr>
                <w:sz w:val="16"/>
                <w:szCs w:val="16"/>
                <w:lang w:val="en-GB"/>
              </w:rPr>
            </w:pPr>
          </w:p>
        </w:tc>
        <w:tc>
          <w:tcPr>
            <w:tcW w:w="284" w:type="dxa"/>
          </w:tcPr>
          <w:p w14:paraId="1E4526B8" w14:textId="77777777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</w:p>
        </w:tc>
        <w:tc>
          <w:tcPr>
            <w:tcW w:w="283" w:type="dxa"/>
          </w:tcPr>
          <w:p w14:paraId="5DEB3570" w14:textId="77777777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</w:p>
        </w:tc>
        <w:tc>
          <w:tcPr>
            <w:tcW w:w="248" w:type="dxa"/>
          </w:tcPr>
          <w:p w14:paraId="236DE64D" w14:textId="3F8E61D9" w:rsidR="00EB5F19" w:rsidRPr="00EB5F19" w:rsidRDefault="00EB5F19" w:rsidP="00EB5F19">
            <w:pPr>
              <w:pStyle w:val="TAL"/>
              <w:rPr>
                <w:rFonts w:cs="Arial"/>
                <w:sz w:val="16"/>
                <w:lang w:val="en-GB"/>
              </w:rPr>
            </w:pPr>
            <w:r w:rsidRPr="00EB5F19">
              <w:rPr>
                <w:rFonts w:cs="Arial"/>
                <w:sz w:val="16"/>
                <w:lang w:val="en-GB"/>
              </w:rPr>
              <w:t>X</w:t>
            </w:r>
          </w:p>
        </w:tc>
        <w:tc>
          <w:tcPr>
            <w:tcW w:w="2020" w:type="dxa"/>
          </w:tcPr>
          <w:p w14:paraId="4A28DEEE" w14:textId="0220F3AD" w:rsidR="00EB5F19" w:rsidRPr="00EB5F19" w:rsidRDefault="00EB5F19" w:rsidP="00EB5F19">
            <w:pPr>
              <w:pStyle w:val="TAL"/>
              <w:rPr>
                <w:lang w:val="en-GB"/>
              </w:rPr>
            </w:pPr>
            <w:r w:rsidRPr="00EB5F19">
              <w:rPr>
                <w:lang w:val="en-GB"/>
              </w:rPr>
              <w:t>The mirror CR is intentionally not provided as the rel-19 behaviour will be documented in alignment with matching MWAB feature</w:t>
            </w:r>
            <w:r>
              <w:rPr>
                <w:lang w:val="en-GB"/>
              </w:rPr>
              <w:t xml:space="preserve"> </w:t>
            </w:r>
            <w:r w:rsidRPr="00EB5F19">
              <w:rPr>
                <w:lang w:val="en-GB"/>
              </w:rPr>
              <w:t>defined in VMR_Ph2</w:t>
            </w:r>
          </w:p>
        </w:tc>
      </w:tr>
    </w:tbl>
    <w:p w14:paraId="026C6D40" w14:textId="77777777" w:rsidR="00247013" w:rsidRPr="00EB5F19" w:rsidRDefault="00247013" w:rsidP="00766D2A">
      <w:pPr>
        <w:rPr>
          <w:rFonts w:cs="Arial"/>
          <w:b/>
          <w:bCs/>
        </w:rPr>
      </w:pPr>
    </w:p>
    <w:sectPr w:rsidR="00247013" w:rsidRPr="00EB5F19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B5F1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5</TotalTime>
  <Pages>1</Pages>
  <Words>100</Words>
  <Characters>518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